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6F935"/>
    <w:p w14:paraId="1D524DE9">
      <w:pPr>
        <w:spacing w:line="560" w:lineRule="exact"/>
        <w:ind w:firstLine="640" w:firstLineChars="200"/>
        <w:jc w:val="left"/>
        <w:rPr>
          <w:rFonts w:hint="eastAsia" w:ascii="Times New Roman" w:hAnsi="Times New Roman" w:eastAsia="仿宋_GB2312" w:cs="Times New Roman"/>
          <w:sz w:val="32"/>
          <w:lang w:val="en-US" w:eastAsia="zh-CN"/>
        </w:rPr>
      </w:pPr>
    </w:p>
    <w:p w14:paraId="1ADDDC8B">
      <w:pPr>
        <w:spacing w:line="560" w:lineRule="exact"/>
        <w:ind w:firstLine="640" w:firstLineChars="200"/>
        <w:jc w:val="left"/>
        <w:rPr>
          <w:rFonts w:hint="eastAsia" w:ascii="Times New Roman" w:hAnsi="Times New Roman" w:eastAsia="仿宋_GB2312" w:cs="Times New Roman"/>
          <w:sz w:val="32"/>
          <w:lang w:val="en-US" w:eastAsia="zh-CN"/>
        </w:rPr>
      </w:pPr>
    </w:p>
    <w:p w14:paraId="65706EA6">
      <w:pPr>
        <w:spacing w:line="560" w:lineRule="exact"/>
        <w:ind w:left="0" w:leftChars="0" w:firstLine="0" w:firstLineChars="0"/>
        <w:jc w:val="left"/>
        <w:rPr>
          <w:rFonts w:hint="eastAsia" w:ascii="Times New Roman" w:hAnsi="Times New Roman" w:eastAsia="仿宋_GB2312" w:cs="Times New Roman"/>
          <w:sz w:val="32"/>
          <w:lang w:val="en-US" w:eastAsia="zh-CN"/>
        </w:rPr>
      </w:pPr>
    </w:p>
    <w:p w14:paraId="2410A46E">
      <w:pPr>
        <w:spacing w:line="560" w:lineRule="exact"/>
        <w:ind w:firstLine="640" w:firstLineChars="200"/>
        <w:jc w:val="left"/>
        <w:rPr>
          <w:rFonts w:hint="eastAsia" w:ascii="Times New Roman" w:hAnsi="Times New Roman" w:eastAsia="仿宋_GB2312" w:cs="Times New Roman"/>
          <w:sz w:val="32"/>
          <w:lang w:val="en-US" w:eastAsia="zh-CN"/>
        </w:rPr>
      </w:pPr>
    </w:p>
    <w:p w14:paraId="49B14750">
      <w:pPr>
        <w:spacing w:line="560" w:lineRule="exact"/>
        <w:ind w:firstLine="640" w:firstLineChars="200"/>
        <w:jc w:val="left"/>
        <w:rPr>
          <w:rFonts w:hint="eastAsia" w:ascii="Times New Roman" w:hAnsi="Times New Roman" w:eastAsia="仿宋_GB2312" w:cs="Times New Roman"/>
          <w:sz w:val="32"/>
          <w:lang w:val="en-US" w:eastAsia="zh-CN"/>
        </w:rPr>
      </w:pPr>
    </w:p>
    <w:p w14:paraId="16974F0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r>
        <w:rPr>
          <w:rFonts w:hint="eastAsia" w:ascii="方正小标宋简体" w:hAnsi="方正小标宋简体" w:eastAsia="方正小标宋简体" w:cs="方正小标宋简体"/>
          <w:sz w:val="44"/>
          <w:szCs w:val="44"/>
          <w:lang w:val="en-US" w:eastAsia="zh-CN"/>
        </w:rPr>
        <w:t>伊州财建[2024]29号伊犁州特克斯县特色林果业标准化生产示范基地以工代赈项目项目支出绩效自评报告</w:t>
      </w:r>
    </w:p>
    <w:p w14:paraId="5DF1629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p>
    <w:p w14:paraId="2E1B615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（2024年度）</w:t>
      </w:r>
    </w:p>
    <w:p w14:paraId="23A77721">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14:paraId="4449BB36">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14:paraId="690288DA">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14:paraId="4A9A85B1">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hint="eastAsia" w:ascii="Times New Roman" w:hAnsi="Times New Roman" w:eastAsia="仿宋_GB2312" w:cs="Times New Roman"/>
          <w:sz w:val="32"/>
          <w:lang w:val="en-US" w:eastAsia="zh-CN"/>
        </w:rPr>
      </w:pPr>
    </w:p>
    <w:p w14:paraId="616BE7F8">
      <w:pPr>
        <w:keepNext w:val="0"/>
        <w:keepLines w:val="0"/>
        <w:pageBreakBefore w:val="0"/>
        <w:widowControl w:val="0"/>
        <w:kinsoku/>
        <w:wordWrap/>
        <w:overflowPunct/>
        <w:topLinePunct w:val="0"/>
        <w:autoSpaceDE/>
        <w:autoSpaceDN/>
        <w:bidi w:val="0"/>
        <w:adjustRightInd/>
        <w:snapToGrid/>
        <w:spacing w:line="560" w:lineRule="exact"/>
        <w:ind w:left="2238" w:leftChars="304" w:hanging="1600" w:hangingChars="5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项目名称：伊州财建[2024]29号伊犁州特克斯县特色林果业标准化生产示范基地以工代赈项目</w:t>
      </w:r>
    </w:p>
    <w:p w14:paraId="47C1A6A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实施单位（公章）：特克斯县林业和草原局</w:t>
      </w:r>
    </w:p>
    <w:p w14:paraId="1DD4787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主管部门（公章）：特克斯县林业和草原局</w:t>
      </w:r>
    </w:p>
    <w:p w14:paraId="6F0DB80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项目负责人（签章）：胥洪军</w:t>
      </w:r>
    </w:p>
    <w:p w14:paraId="59C3243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填报时间：2025年05月21日</w:t>
      </w:r>
    </w:p>
    <w:p w14:paraId="0A55C050">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p>
    <w:p w14:paraId="02AD084F">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p>
    <w:p w14:paraId="0BAA16DC">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bookmarkStart w:id="0" w:name="_GoBack"/>
      <w:bookmarkEnd w:id="0"/>
    </w:p>
    <w:p w14:paraId="714E78C7">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p>
    <w:p w14:paraId="1753E4C8">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一、基本情况</w:t>
      </w:r>
    </w:p>
    <w:p w14:paraId="1532AEA5">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（一）项目概况</w:t>
      </w:r>
    </w:p>
    <w:p w14:paraId="271E121D">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1.项目背景</w:t>
      </w:r>
    </w:p>
    <w:p w14:paraId="17B0D9B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根据自治区关于做好 2024 年重点工程配套设施建设以工代赈中央预算内投资计划申报工作的通知，国家发展改革委、交通运输部、水利部、农业农村部、林业和草原局印发《关于做好 2024 年重点工程配套设施建设以工代赈中央预算内投资计划申报工作的通知》要求，国家发展改革委拟在 2024 年以工代赈中央预算内投资中专门下达一批投资计划，支持有关地方在重点工程配套设施建设中实施以工代赈项目的要求，在征得乔拉克铁热克镇克孜勒阔拉村村民同意后，我县组织林业部门核实提出本项目。同时，拟将特克斯县特色林果标准化生产示范基地项目作为推广以工代赈方式项目，纳入 2024 年重点工程推广以工代赈方式清单，预计吸纳当地群众务工 260 人。 </w:t>
      </w:r>
    </w:p>
    <w:p w14:paraId="6D22770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实施前该特色林果种植示范基地主要要为少量的一般农田、人工林跟大片的严重退化旱地草场，旱地草场内生长着天然草、芨芨草、小型灌木等植被，产量极低，由于缺乏水源，荒漠化现象严重以及林果园区内部及外部农业道路、交通运输道路一直在使用原有土路，存在崎岖不平、道路狭窄、通行条件极差等严重问题。为解决节水灌溉管道 40 公里，砂石道路 20 公里，来配套项目区的发展，通过实施伊犁州特克斯县特色林果标准化生产示范基地以工代赈项目，有效解决剩余地块无法通水的矛盾。本项目按照《国家以工代赈管理办法》《全国“十四五”以工代赈工作方案》《关于进一步坚守“赈”的初心充分发挥以工代赈政策功能的意见》等文件要求，深刻把握以工代赈“工程是手段、赈济是目的”“项目建设是平台载体、就业增收是根本目标”的政策内涵，选择投资规模小、技术门槛低、前期工作简单、务工技能要求不高的农村小型基础设施，充分发挥以工代赈资金项目带动群众就业增收实效，与重点项目资金形成合力，扩大以工代赈项目的范围，促进群众就近就业增收、提高劳动技能。</w:t>
      </w:r>
    </w:p>
    <w:p w14:paraId="164433FA">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2.项目主要内容：</w:t>
      </w:r>
    </w:p>
    <w:p w14:paraId="21538D98">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项目主要内容：新修建完成节水灌溉管道40公里，沙石道路20公里。</w:t>
      </w:r>
    </w:p>
    <w:p w14:paraId="0B3814CC">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项目实施情况：该项目由新疆江铸建设工程有限公司，中标实施，目前该项目已通过验收。</w:t>
      </w:r>
    </w:p>
    <w:p w14:paraId="4824E51F">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3.资金投入和使用情况</w:t>
      </w:r>
    </w:p>
    <w:p w14:paraId="33ACB07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（1）资金投入情况</w:t>
      </w:r>
    </w:p>
    <w:p w14:paraId="2E17381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该项目年初预算数800万元，全年预算数800万元，该项目资金已全部落实到位，资金来源为中央预算内资金。</w:t>
      </w:r>
    </w:p>
    <w:p w14:paraId="37FA188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（2）资金使用情况</w:t>
      </w:r>
    </w:p>
    <w:p w14:paraId="3382969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该项目年初预算数800万元，全年预算数800万元，全年执行数756.45万元，预算执行率为94.5%，主要用于：灌溉管道40公里，沙石道路20公里，及项目实施方案编制、监理、图纸设计等费用。</w:t>
      </w:r>
    </w:p>
    <w:p w14:paraId="26703BBD">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（二）项目绩效目标</w:t>
      </w:r>
    </w:p>
    <w:p w14:paraId="2149D7D2">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1.总体目标</w:t>
      </w:r>
    </w:p>
    <w:p w14:paraId="5659AE2C">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完成节水灌溉管道40公里，砂石道路20公里，改善该示范园基础条件，具有一定的示范带动，用工多为本地工人，增加就业渠道，促进当地居民增收致富。</w:t>
      </w:r>
    </w:p>
    <w:p w14:paraId="66A69ADA">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2.阶段性目标</w:t>
      </w:r>
    </w:p>
    <w:p w14:paraId="1BD67ADC">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按照项目进度5月至6月完成项目招标，6月至10月完成项目建设主要内容，11月至12月完成项目验收，并支付项目资金。</w:t>
      </w:r>
    </w:p>
    <w:p w14:paraId="20F6B8F3">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二、绩效评价工作开展情况</w:t>
      </w:r>
    </w:p>
    <w:p w14:paraId="5AC1410B">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（一）绩效评价目的、对象和范围</w:t>
      </w:r>
    </w:p>
    <w:p w14:paraId="01AA50AB">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1.绩效评价完整性</w:t>
      </w:r>
    </w:p>
    <w:p w14:paraId="6BBE9488">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86A4820">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评价指标体系的构建上，充分考虑了项目的性质、目标以及预期成果，选取了具有代表性和可衡量性的关键指标，涵盖了经济效益、社会效益、生态效益等多个维度，力求全方位反映项目的绩效状况。同时，对于每个指标的评价标准和数据来源均进行了明确说明，确保评价结果的客观性和可追溯性。</w:t>
      </w:r>
    </w:p>
    <w:p w14:paraId="0DABA42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6A039EBD">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746AAD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44D14CB8">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2.绩效评价的目的</w:t>
      </w:r>
    </w:p>
    <w:p w14:paraId="79484F3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（1）评估项目实施效果</w:t>
      </w:r>
    </w:p>
    <w:p w14:paraId="0BF09C7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通过对项目预算执行情况及各项绩效目标达成程度的系统性分析，全面、客观地评估项目在预定周期内的实施效果，包括经济效益、社会效益、生态效益以及可持续性等多维度指标，为项目后续的改进与优化提供科学依据。</w:t>
      </w:r>
    </w:p>
    <w:p w14:paraId="19934ED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（2）提升资源利用效率</w:t>
      </w:r>
    </w:p>
    <w:p w14:paraId="3FFB292D">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0B7C29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（3）强化项目管理责任</w:t>
      </w:r>
    </w:p>
    <w:p w14:paraId="6EBB94A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12798F4">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（4）为决策提供支持</w:t>
      </w:r>
    </w:p>
    <w:p w14:paraId="42EAF009">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F8C6A2A">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（5）促进项目持续改进</w:t>
      </w:r>
    </w:p>
    <w:p w14:paraId="371285A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819D890">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0FECDB8">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3.绩效评价的对象</w:t>
      </w:r>
    </w:p>
    <w:p w14:paraId="4B1C9BE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评价对象是伊犁州特克斯县特色林果标准化生产示范基地以工代赈项目及其预算执行情况。该项目由特克斯县林业和草原局负责实施，旨在通过该项目完善林果示范基地滴灌管网、道路，建设，通过当地农牧民技能培训，提高当地就业率解决富裕劳劳动力，促进当地农牧民增收。项目预算涵盖从2024年4月至2024年12月的全部资金投入与支出，涉及资金总额为800万元。</w:t>
      </w:r>
    </w:p>
    <w:p w14:paraId="42DCFB02">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4.绩效评价的范围</w:t>
      </w:r>
    </w:p>
    <w:p w14:paraId="6A119C4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本项目预算绩效评价报告的评价范围广泛而全面，涵盖了从项目立项至评价时点期间的所有关键预算活动和财务流程。具体而言，评价范围包括但不限于以下几个方面：</w:t>
      </w:r>
    </w:p>
    <w:p w14:paraId="78DC0F38">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（1）项目预算编制与执行：全面审视项目预算的编制依据、合理性、科学性以及实际执行情况，包括预算调整的原因和效果。</w:t>
      </w:r>
    </w:p>
    <w:p w14:paraId="007EA21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（2）资金管理：深入分析项目资金的分配、使用和监管情况，确保资金使用的合规性、高效性和透明度。</w:t>
      </w:r>
    </w:p>
    <w:p w14:paraId="144DFEB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（3）项目实施进度与产出：评估项目是否按照既定计划顺利推进，各项任务是否按时完成，以及项目产出的数量、质量和时效性是否符合预期。</w:t>
      </w:r>
    </w:p>
    <w:p w14:paraId="432DC72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（4）社会、生态等影响：考察项目对社会、生态、经济等方面的综合影响。</w:t>
      </w:r>
    </w:p>
    <w:p w14:paraId="27DAB4A0">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（二）绩效评价原则、评价指标体系（详情见表1）、评价方法、评价标准。</w:t>
      </w:r>
    </w:p>
    <w:p w14:paraId="504AD1DD">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1.绩效评价原则</w:t>
      </w:r>
    </w:p>
    <w:p w14:paraId="504B2B4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本次项目绩效评价遵循以下基本原则：</w:t>
      </w:r>
    </w:p>
    <w:p w14:paraId="2226069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（1）科学公正。绩效评价应当运用科学合理的方法，按照规范的程序，对项目绩效进行客观、公正的反映。</w:t>
      </w:r>
    </w:p>
    <w:p w14:paraId="24D725D8">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（2）统筹兼顾。单位自评、部门评价和财政评价应职责明确，各有侧重，相互衔接。单位自评应由项目单位自主实施，即“谁支出、谁自评”。部门评价和财政评价应在单位自评的基础上开展。</w:t>
      </w:r>
    </w:p>
    <w:p w14:paraId="42D7028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（3）激励约束。绩效评价结果应与预算安排、政策调整、改进管理实质性挂钩，体现奖优罚劣和激励相容导向，有效要安排、低效要压减、无效要问责。</w:t>
      </w:r>
    </w:p>
    <w:p w14:paraId="11AF9AE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（4）公开透明。绩效评价结果应依法依规公开，并自觉接受社会监督。</w:t>
      </w:r>
    </w:p>
    <w:p w14:paraId="5AC00ED3">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2.评价指标体系</w:t>
      </w:r>
    </w:p>
    <w:p w14:paraId="6F2E945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绩效评价框架是开展绩效评价的核心。绩效评价框架包括评价准则、关键评价问题、评价指标、数据来源、数据收集方法等。指标体系建立过程如下：</w:t>
      </w:r>
    </w:p>
    <w:p w14:paraId="35B88B7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（1）确定评价指标</w:t>
      </w:r>
    </w:p>
    <w:p w14:paraId="1B5EBCD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4671741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（2）确定权重</w:t>
      </w:r>
    </w:p>
    <w:p w14:paraId="335CD50A">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确定各个指标相对于项目总体绩效的权重分值。在绩效评价指标体系中，项目决策权重为20分，项目过程权重为20分，项目产出权重为40分，项目效益权重为20分。</w:t>
      </w:r>
    </w:p>
    <w:p w14:paraId="53D18B0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（3）确定指标标准值</w:t>
      </w:r>
    </w:p>
    <w:p w14:paraId="799A2CE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指标标准值是绩效评价指标的尺度，既要反映同类项目的先进水平，又要符合项目的实际绩效水平。具体采用计划标准等确定此次绩效评价指标标准值。</w:t>
      </w:r>
    </w:p>
    <w:p w14:paraId="6AE8999A">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绩效评价总分值100分，根据综合评分结果，90（含）-100分为优、80（含）-90分为良、60（含）-80分为中、60分以下为差。</w:t>
      </w:r>
    </w:p>
    <w:p w14:paraId="06F9CCB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具体评价指标体系详情见附件1</w:t>
      </w:r>
    </w:p>
    <w:p w14:paraId="47E431B9">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3.绩效评价方法</w:t>
      </w:r>
    </w:p>
    <w:p w14:paraId="7B7E7F7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绩效评价从项目决策、项目过程、项目产出、项目效益四个维度进行评价。评价对象为项目目标实施情况，  评价核心为资金的支出完成情况和项目的产出效益。</w:t>
      </w:r>
    </w:p>
    <w:p w14:paraId="36912B9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本次评价指标中，既有定性指标又有定量指标，各类指标因考核内容不同和客观标准不同存在较大差异，因此核定具体指标时采用了成本效益分析法，具体评价方法如下：</w:t>
      </w:r>
    </w:p>
    <w:p w14:paraId="77CF70C9">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成本效益分析法。是指将投入与产出、效益进行关联性分析的方法。</w:t>
      </w:r>
    </w:p>
    <w:p w14:paraId="3DBC317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 xml:space="preserve"> 本项目实施后，其经济效益带动农村产业结构的调整，将推进产业化进程，初步形成持续增收的长效机制，农村经济有效发展，农产品销售和农业生产资料便于流通，项目实施后的经济效益显著。项目的实施将有力带动项目区群众发展致富，提高就业群众收入水平。在经济效益层面，特克斯县的林果业基地建设展现出了强大的带动力。随着基地的逐步建成和运营，当地农业经济得到了显著提振。农民们通过参与林果种植、管理、销售等环节，不仅增加了收入，还获得了更多稳定的就业机会。</w:t>
      </w:r>
    </w:p>
    <w:p w14:paraId="5F77FBE8">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4.评价标准</w:t>
      </w:r>
    </w:p>
    <w:p w14:paraId="7655322D">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绩效评价标准通常包括计划标准、行业标准、历史标准等，用于对绩效指标完成情况进行比较、分析、评价。本次评价主要采用了计划标准。</w:t>
      </w:r>
    </w:p>
    <w:p w14:paraId="3B9BBE3C">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（1）计划标准。指以预先制定的目标、计划、预算、定额等作为评价标准。</w:t>
      </w:r>
    </w:p>
    <w:p w14:paraId="7746F7D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计划标准，有利于项目工程按照预期目标、时间进度有序推进。</w:t>
      </w:r>
    </w:p>
    <w:p w14:paraId="7E42BF05">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（三）绩效评价工作过程</w:t>
      </w:r>
    </w:p>
    <w:p w14:paraId="25567D7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（1）前期准备与规划</w:t>
      </w:r>
    </w:p>
    <w:p w14:paraId="136A5B6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57B287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（2）指标体系构建</w:t>
      </w:r>
    </w:p>
    <w:p w14:paraId="3C9E8F0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61FBDD5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（3）数据收集与整理</w:t>
      </w:r>
    </w:p>
    <w:p w14:paraId="01DBE6A0">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FE03C3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（4）数据分析与评估</w:t>
      </w:r>
    </w:p>
    <w:p w14:paraId="47E2F86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4A2EEE20">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（5）报告撰写与反馈</w:t>
      </w:r>
    </w:p>
    <w:p w14:paraId="43A84059">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9E47E1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（6）后续跟踪与改进</w:t>
      </w:r>
    </w:p>
    <w:p w14:paraId="66E4B56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D074336">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三、综合评价情况及评价结论</w:t>
      </w:r>
    </w:p>
    <w:p w14:paraId="4E73BEEE">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（一）评价情况</w:t>
      </w:r>
    </w:p>
    <w:p w14:paraId="1619180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综合评价基于对项目各方面绩效的深入分析与评估。从项目目标的达成情况来看，伊犁州特克斯县特色林果标准化生产示范基地以工代赈项目完成节水灌溉管网铺设40公里、道路修建20公里、用工量超出260人，及发放劳务报酬超过260万元，等方面表现出色，达到了预期的标准与要求。同时，项目也在林果标准化示范园建设、生态工程建设上取得了显著的成效，如解决了基地灌溉、道路基础设施建设，促进了林果提质增效工作示范带动作用，为本县全域旅游、荒山生态绿化奠定了基础。</w:t>
      </w:r>
    </w:p>
    <w:p w14:paraId="2A832F9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项目管理方面，特克斯县林业和草原局通过有效的规划、组织与协调，项目得以顺利实施，并在预算与时间上保持了良好的控制。从项目效益的角度来看，本项目不仅实现了预期的社会效益、生态效益、经济效益等方面产生了积极的影响。具体而言，基础设施建设、增加就业岗位，促进农牧民增收致富果园水肥一体化管理等方面的提升，为项目的利益相关者带来了实实在在的利益。</w:t>
      </w:r>
    </w:p>
    <w:p w14:paraId="0EB5B71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综上所述，伊犁州特克斯县特色林果标准化生产示范基地以工代赈项目在绩效评价中表现出色，达到了项目的预期目标，并在多个方面取得了显著的成效。</w:t>
      </w:r>
    </w:p>
    <w:p w14:paraId="6EE45223">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（二）评价结论</w:t>
      </w:r>
    </w:p>
    <w:p w14:paraId="79059A0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99.23分，属于“优”。其中，项目决策类指标权重为20分，得分为20分，得分率为100%。项目过程类指标权重为20分，得分为19.78分，得分率为98.9%。项目产出类指标权重为40分，得分为39.45分，得分率为98.62%。项目效益类指标权重为20分，得分为20分，得分率为100%。具体打分情况详见：附件1综合评分表。</w:t>
      </w:r>
    </w:p>
    <w:p w14:paraId="387C9D66">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四、绩效评价指标分析。</w:t>
      </w:r>
    </w:p>
    <w:p w14:paraId="0A320CEB">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（一）项目决策情况</w:t>
      </w:r>
    </w:p>
    <w:p w14:paraId="16B73B04">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项目决策类指标包括项目立项、绩效目标和资金投入三方面的内容，由6个三级指标构成，权重分值为20分，实际得分20分，得分率为100%。</w:t>
      </w:r>
    </w:p>
    <w:p w14:paraId="703B5178">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1.项目立项</w:t>
      </w:r>
    </w:p>
    <w:p w14:paraId="59E5A13D">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（1）立项依据充分性</w:t>
      </w:r>
    </w:p>
    <w:p w14:paraId="5DC89B0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4032B6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（2）立项程序规范性</w:t>
      </w:r>
    </w:p>
    <w:p w14:paraId="68CDA5DD">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5358E26">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2.绩效目标</w:t>
      </w:r>
    </w:p>
    <w:p w14:paraId="6EC5426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（1）绩效目标合理性</w:t>
      </w:r>
    </w:p>
    <w:p w14:paraId="1896F41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C360D6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（2）绩效指标明确性</w:t>
      </w:r>
    </w:p>
    <w:p w14:paraId="52E2A69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项目设置了明确的预期产出效益和效果，将绩效目标细化分解为具体的绩效指标，绩效目标与项目目标任务数相对应，绩效目标设定的绩效指标清晰、细化、可衡量。</w:t>
      </w:r>
    </w:p>
    <w:p w14:paraId="019557AC">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3.资金投入</w:t>
      </w:r>
    </w:p>
    <w:p w14:paraId="7F848C2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（1）预算编制科学性</w:t>
      </w:r>
    </w:p>
    <w:p w14:paraId="71C0823C">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7950679">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15B3549">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（2）资金分配合理性</w:t>
      </w:r>
    </w:p>
    <w:p w14:paraId="617A627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45DCD6E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859822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24D3D95F">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（二）项目过程情况。</w:t>
      </w:r>
    </w:p>
    <w:p w14:paraId="60A467F4">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项目过程类指标包括资金管理和组织实施两方面的内容，由5个三级指标构成，权重分值为20分，实际得分19.78分，得分率为98.9%。</w:t>
      </w:r>
    </w:p>
    <w:p w14:paraId="5E965978">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1.资金管理</w:t>
      </w:r>
    </w:p>
    <w:p w14:paraId="51758C1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（1）资金到位率</w:t>
      </w:r>
    </w:p>
    <w:p w14:paraId="7E890E8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本项目总投资800万元，财政资金及时足额到位，到位率100%，预算资金按计划进度执行。</w:t>
      </w:r>
    </w:p>
    <w:p w14:paraId="5430DEF4">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（2）预算执行率</w:t>
      </w:r>
    </w:p>
    <w:p w14:paraId="36CD937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预算编制较为详细，项目资金支出总体能够按照预算执行，预算资金支出756.45万元，预算执行率为94.5%。</w:t>
      </w:r>
    </w:p>
    <w:p w14:paraId="5E04E808">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（3）资金使用合规性</w:t>
      </w:r>
    </w:p>
    <w:p w14:paraId="5500D44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27A0C895">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3A2090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1B9E171">
      <w:pPr>
        <w:keepNext w:val="0"/>
        <w:keepLines w:val="0"/>
        <w:widowControl w:val="0"/>
        <w:bidi w:val="0"/>
        <w:spacing w:beforeLines="0" w:beforeAutospacing="0" w:afterLines="0" w:afterAutospacing="0" w:line="560" w:lineRule="exact"/>
        <w:ind w:firstLine="643" w:firstLineChars="200"/>
        <w:jc w:val="left"/>
        <w:outlineLvl w:val="2"/>
        <w:rPr>
          <w:rFonts w:hint="eastAsia" w:ascii="Calibri" w:hAnsi="Calibri" w:eastAsia="仿宋_GB2312" w:cs="Times New Roman"/>
          <w:b/>
          <w:kern w:val="2"/>
          <w:sz w:val="32"/>
          <w:szCs w:val="24"/>
          <w:lang w:val="en-US" w:eastAsia="zh-CN" w:bidi="ar-SA"/>
        </w:rPr>
      </w:pPr>
      <w:r>
        <w:rPr>
          <w:rFonts w:hint="eastAsia" w:ascii="Calibri" w:hAnsi="Calibri" w:eastAsia="仿宋_GB2312" w:cs="Times New Roman"/>
          <w:b/>
          <w:kern w:val="2"/>
          <w:sz w:val="32"/>
          <w:szCs w:val="24"/>
          <w:lang w:val="en-US" w:eastAsia="zh-CN" w:bidi="ar-SA"/>
        </w:rPr>
        <w:t>2.组织实施</w:t>
      </w:r>
    </w:p>
    <w:p w14:paraId="76AAFD4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（1）管理制度健全性</w:t>
      </w:r>
    </w:p>
    <w:p w14:paraId="15A0E5A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0DDF10F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在制度设计上，我们注重了制度的科学性与可操作性，确保制度能够切实指导项目的执行与管理。</w:t>
      </w:r>
    </w:p>
    <w:p w14:paraId="5F36A31C">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3FD865AE">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DC4F6E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（2）制度执行有效性</w:t>
      </w:r>
    </w:p>
    <w:p w14:paraId="63A08A5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4ED8C06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5046D3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综上所述，本项目的管理制度在执行过程中表现出了高度的有效性，既确保了项目的顺利进行，又实现了项目目标的有效达成。</w:t>
      </w:r>
    </w:p>
    <w:p w14:paraId="1807057A">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（三）项目产出情况</w:t>
      </w:r>
    </w:p>
    <w:p w14:paraId="1AB5470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项目产出类指标包括产出指标、质量指标、时效指标、产出成本、效益指标三方面的内容，由11个三级指标构成，权重分为40分，实际得分39.45分，得分率为98.62%。具体产出指标完成情况如下：</w:t>
      </w:r>
    </w:p>
    <w:p w14:paraId="031ADAE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①产出指标：</w:t>
      </w:r>
    </w:p>
    <w:p w14:paraId="4E5E258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指标1：新建节水灌溉管道长度（公里），指标值：40公里，实际完成值：40公里，指标完成率100 %。</w:t>
      </w:r>
    </w:p>
    <w:p w14:paraId="472F348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指标2：砂石道路建设里程（公里），指标值：20公里，实际完成值：20公里，指标完成率100 %。</w:t>
      </w:r>
    </w:p>
    <w:p w14:paraId="3494153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指标3：实施方案编制（本），指标值：1本，实际完成值1本，指标完成率100%。</w:t>
      </w:r>
    </w:p>
    <w:p w14:paraId="26A92EA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②质量指标：“两个责任”按项目落实到位率，指标值：=90%，实际完成值90%，指标完成率100%。</w:t>
      </w:r>
    </w:p>
    <w:p w14:paraId="54670053">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③时效指标：</w:t>
      </w:r>
    </w:p>
    <w:p w14:paraId="7BEF9D3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指标1：项目工程按期完工率（%），指标值：=90%，实际完成值90%，指标完成率100%。</w:t>
      </w:r>
    </w:p>
    <w:p w14:paraId="5ED39FF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④成本指标：</w:t>
      </w:r>
    </w:p>
    <w:p w14:paraId="3C3384D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指标1：发放劳务报酬，指标值：=260万元，实际完成值260万元，指标完成率100%。</w:t>
      </w:r>
    </w:p>
    <w:p w14:paraId="59442A2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指标2：节水灌溉管道工程建筑工程费用，指标值：=296万，实际完成值261.95万元，指标完成率88.46%。</w:t>
      </w:r>
    </w:p>
    <w:p w14:paraId="5D6D5B09">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指标偏差原因：工程质量质保金未支付。</w:t>
      </w:r>
    </w:p>
    <w:p w14:paraId="50351C82">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指标3：砂石道路工程建筑费用，指标值：=174万，实际完成值174万元，指标完成率100%。</w:t>
      </w:r>
    </w:p>
    <w:p w14:paraId="7AA7727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指标4：附属设施费用，指标值：=18万元，实际完成值18万元，指标完成率100%。</w:t>
      </w:r>
    </w:p>
    <w:p w14:paraId="1C09E2FA">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指标5：建筑工程建设其它费用，指标值：=30万元，实际完成值28.2万元，指标完成率93.3%。</w:t>
      </w:r>
    </w:p>
    <w:p w14:paraId="0EFEE541">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指标偏差原因：项目完工后，监理资料未及时交付甲方，监理费用2万元未支付。</w:t>
      </w:r>
    </w:p>
    <w:p w14:paraId="24A55B78">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指标6：建筑工程基本预备费，指标值：=22万元，实际完成值14.5万元，指标完成率65.91%。</w:t>
      </w:r>
    </w:p>
    <w:p w14:paraId="264F3876">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指标偏差原因：项目工程管理费7.5万元，因我单位办公经费由财政统一拨付，7.5万元由财政统筹。</w:t>
      </w:r>
    </w:p>
    <w:p w14:paraId="2C0372A3">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（四）项目效益情况。</w:t>
      </w:r>
    </w:p>
    <w:p w14:paraId="74726A14">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项目效益类指标包括项目实施效益和满意度两方面的内容，由5个三级指标构成，权重分为20分，实际得分20分，得分率为100%。具体效益指标及满意度指标完成情况如下：1.实施效益①经济效益指标：指标1：提升基地亩产，人均新增收入（亩/元），指标值=200元/亩，实际完成值200元/亩，指标完成率100%。②社会效益指标：指标1：项目区基础设施条件，指标值持续改善，实际完成值持续改善，指标完成率100%。指标2：社会效益指标：带动农民工务工人数指标值=260人，实际完成值260人，指标完成率100%。指标3：社会效益指标：村民自建示范，激发群众内生动力，指标值显著提升，实际完成值显著提升，指标完成率100%。2.群众满意度指标：参与工程建设任务的务工群众满意度（%），指标值≥95%，实际完成值95%，指标完成率100%。</w:t>
      </w:r>
    </w:p>
    <w:p w14:paraId="6A781D2F">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（五）预算执行进度与绩效指标总体完成率偏差</w:t>
      </w:r>
    </w:p>
    <w:p w14:paraId="3A952B54">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伊犁州特克斯县特色林果标准化生产示范基地以工代赈项目年初预算800万元，全年预算800万元，实际支出756.45万元，预算执行率为94.5%，项目绩效指标总体完成率为96.73%，总体偏差率为2.23%，偏差原因：因该项目涉及内容为基础设施建设，存在质保问题，所以项目资金未全额支付。改进措施：质保期到期后，及时复验并支付相应资金。</w:t>
      </w:r>
    </w:p>
    <w:p w14:paraId="53707130">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五、主要经验及做法、存在的问题及原因分析</w:t>
      </w:r>
    </w:p>
    <w:p w14:paraId="215C0EFB">
      <w:pPr>
        <w:keepNext w:val="0"/>
        <w:keepLines w:val="0"/>
        <w:widowControl w:val="0"/>
        <w:bidi w:val="0"/>
        <w:spacing w:beforeLines="0" w:beforeAutospacing="0" w:afterLines="0" w:afterAutospacing="0" w:line="560" w:lineRule="exact"/>
        <w:ind w:firstLine="643" w:firstLineChars="200"/>
        <w:jc w:val="left"/>
        <w:outlineLvl w:val="1"/>
        <w:rPr>
          <w:rFonts w:hint="eastAsia" w:ascii="Arial" w:hAnsi="Arial" w:eastAsia="楷体_GB2312" w:cs="Times New Roman"/>
          <w:b/>
          <w:kern w:val="2"/>
          <w:sz w:val="32"/>
          <w:szCs w:val="24"/>
          <w:lang w:val="en-US" w:eastAsia="zh-CN" w:bidi="ar-SA"/>
        </w:rPr>
      </w:pPr>
      <w:r>
        <w:rPr>
          <w:rFonts w:hint="eastAsia" w:ascii="Arial" w:hAnsi="Arial" w:eastAsia="楷体_GB2312" w:cs="Times New Roman"/>
          <w:b/>
          <w:kern w:val="2"/>
          <w:sz w:val="32"/>
          <w:szCs w:val="24"/>
          <w:lang w:val="en-US" w:eastAsia="zh-CN" w:bidi="ar-SA"/>
        </w:rPr>
        <w:t>（一）主要经验及做法</w:t>
      </w:r>
    </w:p>
    <w:p w14:paraId="6CD23D87">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二）存在的问题及原因分析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1E703D9">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六、有关建议</w:t>
      </w:r>
    </w:p>
    <w:p w14:paraId="4211569B">
      <w:pPr>
        <w:spacing w:line="560" w:lineRule="exact"/>
        <w:ind w:firstLine="640" w:firstLineChars="200"/>
        <w:jc w:val="left"/>
        <w:rPr>
          <w:rFonts w:hint="eastAsia" w:ascii="Times New Roman" w:hAnsi="Times New Roman" w:eastAsia="仿宋_GB2312" w:cs="Times New Roman"/>
          <w:sz w:val="32"/>
          <w:lang w:val="en-US" w:eastAsia="zh-CN"/>
        </w:rPr>
      </w:pPr>
      <w:r>
        <w:rPr>
          <w:rFonts w:hint="eastAsia" w:ascii="Times New Roman" w:hAnsi="Times New Roman" w:eastAsia="仿宋_GB2312" w:cs="Times New Roman"/>
          <w:sz w:val="32"/>
          <w:lang w:val="en-US" w:eastAsia="zh-CN"/>
        </w:rPr>
        <w:t>1.多进行有关绩效管理工作方面的培训。积极组织第三方开展绩效管理工作培训，进一步夯实业务基础，提高我单位绩效人员水平。2.专门设定对绩效工作人员定职、定岗、定责等相关制度措施，进一步提升我单位绩效管理工作业务水平，扎实做好绩效管理工作。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4.进一步完善项目评价过程中有关数据和资料的收集、整理、审核及分析。项目启动时同步做好档案的归纳与整理，及时整理、收集、汇总，健全档案资料。项目后续管理有待进一步加强和跟踪。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561C8FC">
      <w:pPr>
        <w:keepNext w:val="0"/>
        <w:keepLines w:val="0"/>
        <w:widowControl w:val="0"/>
        <w:bidi w:val="0"/>
        <w:spacing w:beforeLines="0" w:beforeAutospacing="0" w:afterLines="0" w:afterAutospacing="0" w:line="560" w:lineRule="exact"/>
        <w:ind w:firstLine="643" w:firstLineChars="200"/>
        <w:jc w:val="left"/>
        <w:outlineLvl w:val="0"/>
        <w:rPr>
          <w:rFonts w:hint="eastAsia" w:ascii="Calibri" w:hAnsi="Calibri" w:eastAsia="黑体" w:cs="Times New Roman"/>
          <w:b/>
          <w:kern w:val="44"/>
          <w:sz w:val="32"/>
          <w:szCs w:val="24"/>
          <w:lang w:val="en-US" w:eastAsia="zh-CN" w:bidi="ar-SA"/>
        </w:rPr>
      </w:pPr>
      <w:r>
        <w:rPr>
          <w:rFonts w:hint="eastAsia" w:ascii="Calibri" w:hAnsi="Calibri" w:eastAsia="黑体" w:cs="Times New Roman"/>
          <w:b/>
          <w:kern w:val="44"/>
          <w:sz w:val="32"/>
          <w:szCs w:val="24"/>
          <w:lang w:val="en-US" w:eastAsia="zh-CN" w:bidi="ar-SA"/>
        </w:rPr>
        <w:t>七、其他需要说明的问题</w:t>
      </w:r>
    </w:p>
    <w:p w14:paraId="59A6C7F6">
      <w:r>
        <w:rPr>
          <w:rFonts w:hint="eastAsia" w:ascii="Times New Roman" w:hAnsi="Times New Roman" w:eastAsia="仿宋_GB2312" w:cs="Times New Roman"/>
          <w:sz w:val="32"/>
          <w:lang w:val="en-US" w:eastAsia="zh-CN"/>
        </w:rPr>
        <w:t>本项目无其他需说明的问</w:t>
      </w:r>
      <w:r>
        <w:rPr>
          <w:rFonts w:hint="eastAsia" w:eastAsia="仿宋_GB2312" w:cs="Times New Roman"/>
          <w:sz w:val="32"/>
          <w:lang w:val="en-US" w:eastAsia="zh-CN"/>
        </w:rPr>
        <w:t>题。</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5D7B8EC">
        <w:pPr>
          <w:pStyle w:val="12"/>
          <w:jc w:val="center"/>
        </w:pPr>
        <w:r>
          <w:fldChar w:fldCharType="begin"/>
        </w:r>
        <w:r>
          <w:instrText xml:space="preserve">PAGE   \* MERGEFORMAT</w:instrText>
        </w:r>
        <w:r>
          <w:fldChar w:fldCharType="separate"/>
        </w:r>
        <w:r>
          <w:rPr>
            <w:lang w:val="zh-CN"/>
          </w:rPr>
          <w:t>1</w:t>
        </w:r>
        <w:r>
          <w:fldChar w:fldCharType="end"/>
        </w:r>
      </w:p>
    </w:sdtContent>
  </w:sdt>
  <w:p w14:paraId="60F5547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844690"/>
    <w:rsid w:val="4655404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21EF0CDCB73D4B8D8FAC715995DB8275</vt:lpwstr>
  </property>
</Properties>
</file>

<file path=customXml/itemProps1.xml><?xml version="1.0" encoding="utf-8"?>
<ds:datastoreItem xmlns:ds="http://schemas.openxmlformats.org/officeDocument/2006/customXml" ds:itemID="{b385e7d8-55fd-4aef-a7e1-bb1db3974d3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10442</Words>
  <Characters>10780</Characters>
  <Lines>4</Lines>
  <Paragraphs>1</Paragraphs>
  <TotalTime>0</TotalTime>
  <ScaleCrop>false</ScaleCrop>
  <LinksUpToDate>false</LinksUpToDate>
  <CharactersWithSpaces>10800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2025-03-11T03:27:00Z</dcterms:created>
  <dc:creator>赵 恺_xFF08_预算处_xFF09_</dc:creator>
  <cp:lastModifiedBy>来财&amp;十个勤天</cp:lastModifiedBy>
  <cp:lastPrinted>2018-12-31T10:56:00Z</cp:lastPrinted>
  <dcterms:modified xsi:type="dcterms:W3CDTF">2025-11-13T07:44:05Z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21EF0CDCB73D4B8D8FAC715995DB8275</vt:lpwstr>
  </property>
  <property fmtid="{D5CDD505-2E9C-101B-9397-08002B2CF9AE}" pid="4" name="KSOTemplateDocerSaveRecord">
    <vt:lpwstr>eyJoZGlkIjoiZTEwMTFjZmI3NWUwMGRmYWEyNzFiMzQ2OTlkZWE5ODAiLCJ1c2VySWQiOiIzNzI2MDMzNTYifQ==</vt:lpwstr>
  </property>
</Properties>
</file>